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bookmarkStart w:id="3" w:name="_GoBack"/>
      <w:r>
        <w:rPr>
          <w:rFonts w:hint="eastAsia" w:ascii="Times New Roman" w:hAnsi="Times New Roman" w:eastAsia="方正小标宋_GBK" w:cs="Times New Roman"/>
          <w:sz w:val="44"/>
          <w:szCs w:val="44"/>
        </w:rPr>
        <w:t>中国国民党革命委员会河北省委员会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p>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情况说明</w:t>
      </w:r>
    </w:p>
    <w:bookmarkEnd w:id="3"/>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《中华人民共和国预算法》、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中国国民党革命委员会河北省委员会</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（一）负责拟定民革省委会的工作计划、报告；公文收发、打印、文书档案保管；公章的保管、使用；财务、劳动工资；固定资产管理；机关人事管理；接待、安全保卫工作；卫生和车辆管理。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（二）负责民革全省各级组织建设的有关工作；党员的吸收和档案管理；贯彻执行民革中央有关组织工作的决策、部署；协助、配合中共省、市委进行民革党员政治安排的推荐、考察。</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贯彻执行中共省委、民革中央有关宣传工作的决定、部署；负责全省党员的思想建设、政治学习和统战理论研讨；海外联谊工作；《团结报》河北记者站的工作；组织、实施民革组织的参政议政工作；组织机关人员的政治、业务学习。</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（四）协调、安排民革组织为经济建设服务的活动；拟定、实施有关扶贫、办学、咨询服务等方面的计划；所属团体“中山书画院”的活动。</w:t>
      </w:r>
    </w:p>
    <w:p>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82" w:type="dxa"/>
        <w:jc w:val="center"/>
        <w:tblInd w:w="-5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301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中国国民党革命委员会河北省委员会</w:t>
            </w:r>
          </w:p>
        </w:tc>
        <w:tc>
          <w:tcPr>
            <w:tcW w:w="1134"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正厅</w:t>
            </w:r>
          </w:p>
        </w:tc>
        <w:tc>
          <w:tcPr>
            <w:tcW w:w="3013"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rPr>
        <w:t>中国国民党革命委员会河北省委员会</w:t>
      </w:r>
      <w:r>
        <w:rPr>
          <w:rFonts w:ascii="Times New Roman" w:hAnsi="Times New Roman" w:eastAsia="方正仿宋_GBK" w:cs="Times New Roman"/>
          <w:sz w:val="32"/>
          <w:szCs w:val="32"/>
        </w:rPr>
        <w:t>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433.41</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433.41</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，其他来源收入0元。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中国国民党革命委员会河北省委员会</w:t>
      </w:r>
      <w:r>
        <w:rPr>
          <w:rFonts w:ascii="Times New Roman" w:hAnsi="Times New Roman" w:eastAsia="方正仿宋_GBK" w:cs="Times New Roman"/>
          <w:sz w:val="32"/>
          <w:szCs w:val="32"/>
        </w:rPr>
        <w:t>年度部门预算中支出预算的总体情况。20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433.41</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355.8</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274.12万元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81.68万元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77.61</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参政议政及业务活动经费</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；没有其他支出。</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433.41</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rPr>
        <w:t>460.65万元减少27.24</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减少27.24</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减少</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与上年度持平；无其他支出</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2020年，我会机关运行经费共计安排81.68万元，主要用于日常办公、维修、差旅等日常运行支出。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rPr>
        <w:t>会</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16.88</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4.76</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相比持平，无增减变化</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3"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根据《中国国民党革命委员会章程》规定，中国国民党革命委员会河北省委员会的主要职责：参政议政、民主监督是民革的基本职能。在中共河北省委和民革中央的领导下，组织领导全省民革组织和党员开展参政议政、专项考察调研，及时真实地反映社情民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积极组织党员专家建言献策，提交高质量的调研报告，为领导决策提供科学依据。充分发挥民革在祖统工作中的独特优势，积极开展海内外联谊活动，为促进祖国完全统一贡献力量。组织专家开展扶贫、民革党员志愿服务、法律咨询等活动。</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贯彻民革中央组织建设工作方针，指导全省各级组织的建设，维护民革党员合法权益，开展政治理论和时事政策的学习教育活动，组织换届、后备干部培养和干部培训、基层建设工作，对党内重大活动和典型人物进行宣传。</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（二）分项绩效目标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hint="eastAsia" w:ascii="Times New Roman" w:hAnsi="宋体" w:eastAsia="方正仿宋_GBK" w:cs="宋体"/>
          <w:sz w:val="28"/>
        </w:rPr>
        <w:t>进一步提升参政议政水平</w:t>
      </w:r>
    </w:p>
    <w:p>
      <w:pPr>
        <w:spacing w:line="500" w:lineRule="exact"/>
        <w:ind w:firstLine="560" w:firstLineChars="200"/>
        <w:jc w:val="left"/>
        <w:rPr>
          <w:rFonts w:ascii="Times New Roman" w:eastAsia="方正仿宋_GBK"/>
          <w:sz w:val="28"/>
        </w:rPr>
      </w:pPr>
      <w:r>
        <w:rPr>
          <w:rFonts w:ascii="Times New Roman" w:eastAsia="方正仿宋_GBK"/>
          <w:sz w:val="28"/>
        </w:rPr>
        <w:t>绩效目标：提交高质量调研报告、提案和社情民意信息。</w:t>
      </w:r>
    </w:p>
    <w:p>
      <w:pPr>
        <w:spacing w:line="500" w:lineRule="exact"/>
        <w:ind w:firstLine="560" w:firstLineChars="200"/>
        <w:jc w:val="left"/>
        <w:rPr>
          <w:rFonts w:ascii="Times New Roman" w:eastAsia="方正仿宋_GBK"/>
          <w:sz w:val="28"/>
        </w:rPr>
      </w:pPr>
      <w:r>
        <w:rPr>
          <w:rFonts w:ascii="Times New Roman" w:eastAsia="方正仿宋_GBK"/>
          <w:sz w:val="28"/>
        </w:rPr>
        <w:t>绩效指标：省政协提交大会发言和集体提案20篇以上，提交调研报告10篇以上；政协大会发言和省级领导批示2篇以上。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做好社会服务工作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绩效目标：打造社会服务品牌。</w:t>
      </w:r>
    </w:p>
    <w:p>
      <w:pPr>
        <w:spacing w:line="500" w:lineRule="exact"/>
        <w:ind w:firstLine="560" w:firstLineChars="200"/>
        <w:jc w:val="left"/>
        <w:rPr>
          <w:rFonts w:ascii="Times New Roman" w:eastAsia="方正仿宋_GBK"/>
          <w:sz w:val="28"/>
        </w:rPr>
      </w:pPr>
      <w:r>
        <w:rPr>
          <w:rFonts w:ascii="Times New Roman" w:eastAsia="方正仿宋_GBK"/>
          <w:sz w:val="28"/>
        </w:rPr>
        <w:t>绩效指标：开展扶贫、义诊、纪念庆典等活动5次以上。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hint="eastAsia" w:ascii="Times New Roman" w:hAnsi="宋体" w:eastAsia="方正仿宋_GBK" w:cs="宋体"/>
          <w:sz w:val="28"/>
        </w:rPr>
        <w:t>进一步增强组织建设和宣传工作能力</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绩效目标：通过不驻会主委、副主委、省委会原主委及省民革党员参与民革相关活动，增强民革凝聚力，通过积极宣传民革，增强民革影响。 </w:t>
      </w:r>
    </w:p>
    <w:p>
      <w:pPr>
        <w:spacing w:line="500" w:lineRule="exact"/>
        <w:ind w:firstLine="560" w:firstLineChars="200"/>
        <w:jc w:val="left"/>
        <w:rPr>
          <w:rFonts w:ascii="Times New Roman" w:eastAsia="方正仿宋_GBK"/>
          <w:sz w:val="28"/>
        </w:rPr>
      </w:pPr>
      <w:r>
        <w:rPr>
          <w:rFonts w:ascii="Times New Roman" w:eastAsia="方正仿宋_GBK"/>
          <w:sz w:val="28"/>
        </w:rPr>
        <w:t>绩效指标：微信公众号信息发布量400条以上，公众号阅读量达到8000人次以上。</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（三）工作保障措施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完善制度建设，继续加强学习。继续在全省民革组织中开展培训学习，加强思想建设、自身建设及领导班子建设，做好省级组织换届后新党员的吸收和后备干部的培养工作。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加强支出管理，提高资金使用效益。围绕中共省委、省政府中心工作，充分发挥民革的自身优势，组织党员专家学者开展联合调研或委托党员专家专题调研，调动基层组织和广大党员参政议政的积极性，积极建言献策，提交高质量的调研报告，为领导决策提供科学依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按照全省统一安排，继续组织专家开展扶贫、义诊、法律咨询等活动，并将与各市级民革组织联合开展扶贫、义诊、社区服务等活动。充分发挥民革在祖统工作中的独特优势，积极开展海内外联谊活动，为促进祖国完全统一贡献力量。</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4、做好绩效自评。年度预算执行</w:t>
      </w:r>
      <w:r>
        <w:rPr>
          <w:rFonts w:ascii="Times New Roman" w:eastAsia="方正仿宋_GBK"/>
          <w:sz w:val="28"/>
        </w:rPr>
        <w:t>完毕，</w:t>
      </w:r>
      <w:r>
        <w:rPr>
          <w:rFonts w:hint="eastAsia" w:ascii="Times New Roman" w:hAnsi="宋体" w:eastAsia="方正仿宋_GBK" w:cs="宋体"/>
          <w:sz w:val="28"/>
        </w:rPr>
        <w:t>对照年初设定的绩效目标，按要求开展上年度部门预算绩效自评，对评价中发现的问题及时整改，调整优化支出结构，提高财政资金使用效益。</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第二部分  预算项目绩效目标：</w:t>
      </w:r>
    </w:p>
    <w:p>
      <w:pPr>
        <w:ind w:firstLine="562" w:firstLineChars="200"/>
        <w:jc w:val="left"/>
        <w:outlineLvl w:val="1"/>
        <w:rPr>
          <w:rFonts w:ascii="Times New Roman" w:hAnsi="宋体"/>
          <w:b/>
          <w:sz w:val="28"/>
        </w:rPr>
      </w:pPr>
      <w:r>
        <w:rPr>
          <w:rFonts w:hint="eastAsia" w:ascii="方正仿宋_GBK" w:eastAsia="方正仿宋_GBK"/>
          <w:b/>
          <w:sz w:val="28"/>
        </w:rPr>
        <w:t>1、中央提前下达-民党派专项绩效目标表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8719654"/>
      <w:r>
        <w:rPr>
          <w:rFonts w:hint="eastAsia" w:ascii="方正仿宋_GBK" w:eastAsia="方正仿宋_GBK"/>
          <w:b/>
          <w:sz w:val="28"/>
        </w:rPr>
        <w:instrText xml:space="preserve">3、中央提前下达-民党派专项绩效目标表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1、提交高质量提案</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118"/>
        <w:gridCol w:w="2160"/>
        <w:gridCol w:w="2165"/>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1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16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会议人均成本</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会议人均成本</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≤450元（会议人均成本不超过450元）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提案成果</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提案获得省政协常委会以上大会发言和省领导批示情况</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≥2篇（获得大会发言或省级及以上领导批示不少于2篇）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提案数量</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全年提案提交数量</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≥20篇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工作时效</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12月底前完成提案提交工作</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≤12月（12月底前完成提案工作）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社会促进情况</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调研成果获得省级以上领导批示或促成相关政策、法规的落地。</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≥1篇（调研成果获得省级以上领导批示或促成相关政策、法规的落地情况合计不少于1篇）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118"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参加会议等各项会议、活动党员的满意度情况</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bookmarkEnd w:id="0"/>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20</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会</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5</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8"/>
        <w:tblW w:w="137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1037"/>
        <w:gridCol w:w="919"/>
        <w:gridCol w:w="930"/>
        <w:gridCol w:w="718"/>
        <w:gridCol w:w="718"/>
        <w:gridCol w:w="800"/>
        <w:gridCol w:w="908"/>
        <w:gridCol w:w="908"/>
        <w:gridCol w:w="908"/>
        <w:gridCol w:w="908"/>
        <w:gridCol w:w="910"/>
        <w:gridCol w:w="910"/>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43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部门编码  中国国民党革命委员会河北省委员会</w:t>
            </w:r>
          </w:p>
        </w:tc>
        <w:tc>
          <w:tcPr>
            <w:tcW w:w="632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4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1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3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1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71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0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21"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3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19" w:type="dxa"/>
            <w:vMerge w:val="continue"/>
            <w:shd w:val="clear" w:color="auto" w:fill="auto"/>
            <w:vAlign w:val="center"/>
          </w:tcPr>
          <w:p>
            <w:pPr>
              <w:spacing w:line="300" w:lineRule="exact"/>
              <w:jc w:val="left"/>
              <w:outlineLvl w:val="0"/>
            </w:pPr>
          </w:p>
        </w:tc>
        <w:tc>
          <w:tcPr>
            <w:tcW w:w="930" w:type="dxa"/>
            <w:vMerge w:val="continue"/>
            <w:shd w:val="clear" w:color="auto" w:fill="auto"/>
            <w:vAlign w:val="center"/>
          </w:tcPr>
          <w:p>
            <w:pPr>
              <w:spacing w:line="300" w:lineRule="exact"/>
              <w:jc w:val="left"/>
              <w:outlineLvl w:val="0"/>
            </w:pPr>
          </w:p>
        </w:tc>
        <w:tc>
          <w:tcPr>
            <w:tcW w:w="718" w:type="dxa"/>
            <w:vMerge w:val="continue"/>
            <w:shd w:val="clear" w:color="auto" w:fill="auto"/>
            <w:vAlign w:val="center"/>
          </w:tcPr>
          <w:p>
            <w:pPr>
              <w:spacing w:line="300" w:lineRule="exact"/>
              <w:jc w:val="left"/>
              <w:outlineLvl w:val="0"/>
            </w:pPr>
          </w:p>
        </w:tc>
        <w:tc>
          <w:tcPr>
            <w:tcW w:w="718" w:type="dxa"/>
            <w:vMerge w:val="continue"/>
            <w:shd w:val="clear" w:color="auto" w:fill="auto"/>
            <w:vAlign w:val="center"/>
          </w:tcPr>
          <w:p>
            <w:pPr>
              <w:spacing w:line="300" w:lineRule="exact"/>
              <w:jc w:val="left"/>
              <w:outlineLvl w:val="0"/>
            </w:pPr>
          </w:p>
        </w:tc>
        <w:tc>
          <w:tcPr>
            <w:tcW w:w="800" w:type="dxa"/>
            <w:vMerge w:val="continue"/>
            <w:shd w:val="clear" w:color="auto" w:fill="auto"/>
            <w:vAlign w:val="center"/>
          </w:tcPr>
          <w:p>
            <w:pPr>
              <w:spacing w:line="300" w:lineRule="exact"/>
              <w:jc w:val="left"/>
              <w:outlineLvl w:val="0"/>
            </w:pPr>
          </w:p>
        </w:tc>
        <w:tc>
          <w:tcPr>
            <w:tcW w:w="90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44"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6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9" w:type="dxa"/>
            <w:vMerge w:val="continue"/>
            <w:shd w:val="clear" w:color="auto" w:fill="auto"/>
            <w:vAlign w:val="center"/>
          </w:tcPr>
          <w:p>
            <w:pPr>
              <w:spacing w:line="300" w:lineRule="exact"/>
              <w:jc w:val="left"/>
              <w:outlineLvl w:val="0"/>
            </w:pPr>
          </w:p>
        </w:tc>
        <w:tc>
          <w:tcPr>
            <w:tcW w:w="1037" w:type="dxa"/>
            <w:vMerge w:val="continue"/>
            <w:shd w:val="clear" w:color="auto" w:fill="auto"/>
            <w:vAlign w:val="center"/>
          </w:tcPr>
          <w:p>
            <w:pPr>
              <w:spacing w:line="300" w:lineRule="exact"/>
              <w:jc w:val="left"/>
              <w:outlineLvl w:val="0"/>
            </w:pPr>
          </w:p>
        </w:tc>
        <w:tc>
          <w:tcPr>
            <w:tcW w:w="919" w:type="dxa"/>
            <w:vMerge w:val="continue"/>
            <w:shd w:val="clear" w:color="auto" w:fill="auto"/>
            <w:vAlign w:val="center"/>
          </w:tcPr>
          <w:p>
            <w:pPr>
              <w:spacing w:line="300" w:lineRule="exact"/>
              <w:jc w:val="left"/>
              <w:outlineLvl w:val="0"/>
            </w:pPr>
          </w:p>
        </w:tc>
        <w:tc>
          <w:tcPr>
            <w:tcW w:w="930" w:type="dxa"/>
            <w:vMerge w:val="continue"/>
            <w:shd w:val="clear" w:color="auto" w:fill="auto"/>
            <w:vAlign w:val="center"/>
          </w:tcPr>
          <w:p>
            <w:pPr>
              <w:spacing w:line="300" w:lineRule="exact"/>
              <w:jc w:val="left"/>
              <w:outlineLvl w:val="0"/>
            </w:pPr>
          </w:p>
        </w:tc>
        <w:tc>
          <w:tcPr>
            <w:tcW w:w="718" w:type="dxa"/>
            <w:vMerge w:val="continue"/>
            <w:shd w:val="clear" w:color="auto" w:fill="auto"/>
            <w:vAlign w:val="center"/>
          </w:tcPr>
          <w:p>
            <w:pPr>
              <w:spacing w:line="300" w:lineRule="exact"/>
              <w:jc w:val="left"/>
              <w:outlineLvl w:val="0"/>
            </w:pPr>
          </w:p>
        </w:tc>
        <w:tc>
          <w:tcPr>
            <w:tcW w:w="718" w:type="dxa"/>
            <w:vMerge w:val="continue"/>
            <w:shd w:val="clear" w:color="auto" w:fill="auto"/>
            <w:vAlign w:val="center"/>
          </w:tcPr>
          <w:p>
            <w:pPr>
              <w:spacing w:line="300" w:lineRule="exact"/>
              <w:jc w:val="left"/>
              <w:outlineLvl w:val="0"/>
            </w:pPr>
          </w:p>
        </w:tc>
        <w:tc>
          <w:tcPr>
            <w:tcW w:w="800" w:type="dxa"/>
            <w:vMerge w:val="continue"/>
            <w:shd w:val="clear" w:color="auto" w:fill="auto"/>
            <w:vAlign w:val="center"/>
          </w:tcPr>
          <w:p>
            <w:pPr>
              <w:spacing w:line="300" w:lineRule="exact"/>
              <w:jc w:val="left"/>
              <w:outlineLvl w:val="0"/>
            </w:pPr>
          </w:p>
        </w:tc>
        <w:tc>
          <w:tcPr>
            <w:tcW w:w="908" w:type="dxa"/>
            <w:vMerge w:val="continue"/>
            <w:shd w:val="clear" w:color="auto" w:fill="auto"/>
            <w:vAlign w:val="center"/>
          </w:tcPr>
          <w:p>
            <w:pPr>
              <w:spacing w:line="300" w:lineRule="exact"/>
              <w:jc w:val="left"/>
              <w:outlineLvl w:val="0"/>
            </w:pPr>
          </w:p>
        </w:tc>
        <w:tc>
          <w:tcPr>
            <w:tcW w:w="90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0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69"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37" w:type="dxa"/>
            <w:shd w:val="clear" w:color="auto" w:fill="auto"/>
            <w:vAlign w:val="center"/>
          </w:tcPr>
          <w:p>
            <w:pPr>
              <w:spacing w:line="300" w:lineRule="exact"/>
              <w:jc w:val="right"/>
              <w:rPr>
                <w:rFonts w:ascii="方正书宋_GBK" w:eastAsia="方正书宋_GBK"/>
                <w:b/>
              </w:rPr>
            </w:pPr>
          </w:p>
        </w:tc>
        <w:tc>
          <w:tcPr>
            <w:tcW w:w="919" w:type="dxa"/>
            <w:shd w:val="clear" w:color="auto" w:fill="auto"/>
            <w:vAlign w:val="center"/>
          </w:tcPr>
          <w:p>
            <w:pPr>
              <w:spacing w:line="300" w:lineRule="exact"/>
              <w:jc w:val="left"/>
              <w:rPr>
                <w:rFonts w:ascii="方正书宋_GBK" w:eastAsia="方正书宋_GBK"/>
                <w:b/>
              </w:rPr>
            </w:pPr>
          </w:p>
        </w:tc>
        <w:tc>
          <w:tcPr>
            <w:tcW w:w="930" w:type="dxa"/>
            <w:shd w:val="clear" w:color="auto" w:fill="auto"/>
            <w:vAlign w:val="center"/>
          </w:tcPr>
          <w:p>
            <w:pPr>
              <w:spacing w:line="300" w:lineRule="exact"/>
              <w:jc w:val="left"/>
              <w:rPr>
                <w:rFonts w:ascii="方正书宋_GBK" w:eastAsia="方正书宋_GBK"/>
                <w:b/>
              </w:rPr>
            </w:pPr>
          </w:p>
        </w:tc>
        <w:tc>
          <w:tcPr>
            <w:tcW w:w="718" w:type="dxa"/>
            <w:shd w:val="clear" w:color="auto" w:fill="auto"/>
            <w:vAlign w:val="center"/>
          </w:tcPr>
          <w:p>
            <w:pPr>
              <w:spacing w:line="300" w:lineRule="exact"/>
              <w:jc w:val="center"/>
              <w:rPr>
                <w:rFonts w:ascii="方正书宋_GBK" w:eastAsia="方正书宋_GBK"/>
                <w:b/>
              </w:rPr>
            </w:pPr>
          </w:p>
        </w:tc>
        <w:tc>
          <w:tcPr>
            <w:tcW w:w="718" w:type="dxa"/>
            <w:shd w:val="clear" w:color="auto" w:fill="auto"/>
            <w:vAlign w:val="center"/>
          </w:tcPr>
          <w:p>
            <w:pPr>
              <w:spacing w:line="300" w:lineRule="exact"/>
              <w:jc w:val="right"/>
              <w:rPr>
                <w:rFonts w:ascii="方正书宋_GBK" w:eastAsia="方正书宋_GBK"/>
                <w:b/>
              </w:rPr>
            </w:pPr>
          </w:p>
        </w:tc>
        <w:tc>
          <w:tcPr>
            <w:tcW w:w="800"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908"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908"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right"/>
              <w:rPr>
                <w:rFonts w:ascii="方正书宋_GBK" w:eastAsia="方正书宋_GBK"/>
                <w:b/>
              </w:rPr>
            </w:pPr>
          </w:p>
        </w:tc>
        <w:tc>
          <w:tcPr>
            <w:tcW w:w="86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37" w:type="dxa"/>
            <w:shd w:val="clear" w:color="auto" w:fill="auto"/>
            <w:vAlign w:val="center"/>
          </w:tcPr>
          <w:p>
            <w:pPr>
              <w:spacing w:line="300" w:lineRule="exact"/>
              <w:jc w:val="right"/>
              <w:rPr>
                <w:rFonts w:ascii="方正书宋_GBK" w:eastAsia="方正书宋_GBK"/>
              </w:rPr>
            </w:pPr>
            <w:r>
              <w:rPr>
                <w:rFonts w:ascii="方正书宋_GBK" w:eastAsia="方正书宋_GBK"/>
              </w:rPr>
              <w:t>81.68</w:t>
            </w:r>
          </w:p>
        </w:tc>
        <w:tc>
          <w:tcPr>
            <w:tcW w:w="91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930"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1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7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00"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86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37" w:type="dxa"/>
            <w:shd w:val="clear" w:color="auto" w:fill="auto"/>
            <w:vAlign w:val="center"/>
          </w:tcPr>
          <w:p>
            <w:pPr>
              <w:spacing w:line="300" w:lineRule="exact"/>
              <w:jc w:val="right"/>
              <w:rPr>
                <w:rFonts w:ascii="方正书宋_GBK" w:eastAsia="方正书宋_GBK"/>
              </w:rPr>
            </w:pPr>
            <w:r>
              <w:rPr>
                <w:rFonts w:ascii="方正书宋_GBK" w:eastAsia="方正书宋_GBK"/>
              </w:rPr>
              <w:t>81.68</w:t>
            </w:r>
          </w:p>
        </w:tc>
        <w:tc>
          <w:tcPr>
            <w:tcW w:w="91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930"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1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7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00"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86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37" w:type="dxa"/>
            <w:shd w:val="clear" w:color="auto" w:fill="auto"/>
            <w:vAlign w:val="center"/>
          </w:tcPr>
          <w:p>
            <w:pPr>
              <w:spacing w:line="300" w:lineRule="exact"/>
              <w:jc w:val="right"/>
              <w:rPr>
                <w:rFonts w:ascii="方正书宋_GBK" w:eastAsia="方正书宋_GBK"/>
              </w:rPr>
            </w:pPr>
            <w:r>
              <w:rPr>
                <w:rFonts w:ascii="方正书宋_GBK" w:eastAsia="方正书宋_GBK"/>
              </w:rPr>
              <w:t>81.68</w:t>
            </w:r>
          </w:p>
        </w:tc>
        <w:tc>
          <w:tcPr>
            <w:tcW w:w="91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930"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1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7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0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86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37" w:type="dxa"/>
            <w:shd w:val="clear" w:color="auto" w:fill="auto"/>
            <w:vAlign w:val="center"/>
          </w:tcPr>
          <w:p>
            <w:pPr>
              <w:spacing w:line="300" w:lineRule="exact"/>
              <w:jc w:val="right"/>
              <w:rPr>
                <w:rFonts w:ascii="方正书宋_GBK" w:eastAsia="方正书宋_GBK"/>
              </w:rPr>
            </w:pPr>
            <w:r>
              <w:rPr>
                <w:rFonts w:ascii="方正书宋_GBK" w:eastAsia="方正书宋_GBK"/>
              </w:rPr>
              <w:t>81.68</w:t>
            </w:r>
          </w:p>
        </w:tc>
        <w:tc>
          <w:tcPr>
            <w:tcW w:w="91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930"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71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7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00"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908"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86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ascii="方正书宋_GBK" w:eastAsia="方正书宋_GBK"/>
              </w:rPr>
            </w:pPr>
          </w:p>
        </w:tc>
        <w:tc>
          <w:tcPr>
            <w:tcW w:w="1037" w:type="dxa"/>
            <w:shd w:val="clear" w:color="auto" w:fill="auto"/>
            <w:vAlign w:val="center"/>
          </w:tcPr>
          <w:p>
            <w:pPr>
              <w:spacing w:line="300" w:lineRule="exact"/>
              <w:jc w:val="right"/>
              <w:rPr>
                <w:rFonts w:ascii="方正书宋_GBK" w:eastAsia="方正书宋_GBK"/>
              </w:rPr>
            </w:pPr>
          </w:p>
        </w:tc>
        <w:tc>
          <w:tcPr>
            <w:tcW w:w="919" w:type="dxa"/>
            <w:shd w:val="clear" w:color="auto" w:fill="auto"/>
            <w:vAlign w:val="center"/>
          </w:tcPr>
          <w:p>
            <w:pPr>
              <w:spacing w:line="300" w:lineRule="exact"/>
              <w:jc w:val="left"/>
              <w:rPr>
                <w:rFonts w:ascii="方正书宋_GBK" w:eastAsia="方正书宋_GBK"/>
              </w:rPr>
            </w:pPr>
          </w:p>
        </w:tc>
        <w:tc>
          <w:tcPr>
            <w:tcW w:w="930" w:type="dxa"/>
            <w:shd w:val="clear" w:color="auto" w:fill="auto"/>
            <w:vAlign w:val="center"/>
          </w:tcPr>
          <w:p>
            <w:pPr>
              <w:spacing w:line="300" w:lineRule="exact"/>
              <w:jc w:val="left"/>
              <w:rPr>
                <w:rFonts w:ascii="方正书宋_GBK" w:eastAsia="方正书宋_GBK"/>
              </w:rPr>
            </w:pPr>
          </w:p>
        </w:tc>
        <w:tc>
          <w:tcPr>
            <w:tcW w:w="718" w:type="dxa"/>
            <w:shd w:val="clear" w:color="auto" w:fill="auto"/>
            <w:vAlign w:val="center"/>
          </w:tcPr>
          <w:p>
            <w:pPr>
              <w:spacing w:line="300" w:lineRule="exact"/>
              <w:jc w:val="left"/>
              <w:rPr>
                <w:rFonts w:ascii="方正书宋_GBK" w:eastAsia="方正书宋_GBK"/>
              </w:rPr>
            </w:pPr>
          </w:p>
        </w:tc>
        <w:tc>
          <w:tcPr>
            <w:tcW w:w="718" w:type="dxa"/>
            <w:shd w:val="clear" w:color="auto" w:fill="auto"/>
            <w:vAlign w:val="center"/>
          </w:tcPr>
          <w:p>
            <w:pPr>
              <w:spacing w:line="300" w:lineRule="exact"/>
              <w:jc w:val="right"/>
              <w:rPr>
                <w:rFonts w:ascii="方正书宋_GBK" w:eastAsia="方正书宋_GBK"/>
              </w:rPr>
            </w:pPr>
          </w:p>
        </w:tc>
        <w:tc>
          <w:tcPr>
            <w:tcW w:w="800"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08"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910" w:type="dxa"/>
            <w:shd w:val="clear" w:color="auto" w:fill="auto"/>
            <w:vAlign w:val="center"/>
          </w:tcPr>
          <w:p>
            <w:pPr>
              <w:spacing w:line="300" w:lineRule="exact"/>
              <w:jc w:val="right"/>
              <w:rPr>
                <w:rFonts w:ascii="方正书宋_GBK" w:eastAsia="方正书宋_GBK"/>
              </w:rPr>
            </w:pPr>
          </w:p>
        </w:tc>
        <w:tc>
          <w:tcPr>
            <w:tcW w:w="86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center"/>
              <w:rPr>
                <w:rFonts w:ascii="方正书宋_GBK" w:eastAsia="方正书宋_GBK"/>
                <w:b/>
              </w:rPr>
            </w:pPr>
          </w:p>
        </w:tc>
        <w:tc>
          <w:tcPr>
            <w:tcW w:w="1037" w:type="dxa"/>
            <w:shd w:val="clear" w:color="auto" w:fill="auto"/>
            <w:vAlign w:val="center"/>
          </w:tcPr>
          <w:p>
            <w:pPr>
              <w:spacing w:line="300" w:lineRule="exact"/>
              <w:jc w:val="right"/>
              <w:rPr>
                <w:rFonts w:ascii="方正书宋_GBK" w:eastAsia="方正书宋_GBK"/>
                <w:b/>
              </w:rPr>
            </w:pPr>
          </w:p>
        </w:tc>
        <w:tc>
          <w:tcPr>
            <w:tcW w:w="919" w:type="dxa"/>
            <w:shd w:val="clear" w:color="auto" w:fill="auto"/>
            <w:vAlign w:val="center"/>
          </w:tcPr>
          <w:p>
            <w:pPr>
              <w:spacing w:line="300" w:lineRule="exact"/>
              <w:jc w:val="left"/>
              <w:rPr>
                <w:rFonts w:ascii="方正书宋_GBK" w:eastAsia="方正书宋_GBK"/>
                <w:b/>
              </w:rPr>
            </w:pPr>
          </w:p>
        </w:tc>
        <w:tc>
          <w:tcPr>
            <w:tcW w:w="930" w:type="dxa"/>
            <w:shd w:val="clear" w:color="auto" w:fill="auto"/>
            <w:vAlign w:val="center"/>
          </w:tcPr>
          <w:p>
            <w:pPr>
              <w:spacing w:line="300" w:lineRule="exact"/>
              <w:jc w:val="left"/>
              <w:rPr>
                <w:rFonts w:ascii="方正书宋_GBK" w:eastAsia="方正书宋_GBK"/>
                <w:b/>
              </w:rPr>
            </w:pPr>
          </w:p>
        </w:tc>
        <w:tc>
          <w:tcPr>
            <w:tcW w:w="718" w:type="dxa"/>
            <w:shd w:val="clear" w:color="auto" w:fill="auto"/>
            <w:vAlign w:val="center"/>
          </w:tcPr>
          <w:p>
            <w:pPr>
              <w:spacing w:line="300" w:lineRule="exact"/>
              <w:jc w:val="left"/>
              <w:rPr>
                <w:rFonts w:ascii="方正书宋_GBK" w:eastAsia="方正书宋_GBK"/>
                <w:b/>
              </w:rPr>
            </w:pPr>
          </w:p>
        </w:tc>
        <w:tc>
          <w:tcPr>
            <w:tcW w:w="718" w:type="dxa"/>
            <w:shd w:val="clear" w:color="auto" w:fill="auto"/>
            <w:vAlign w:val="center"/>
          </w:tcPr>
          <w:p>
            <w:pPr>
              <w:spacing w:line="300" w:lineRule="exact"/>
              <w:jc w:val="right"/>
              <w:rPr>
                <w:rFonts w:ascii="方正书宋_GBK" w:eastAsia="方正书宋_GBK"/>
                <w:b/>
              </w:rPr>
            </w:pPr>
          </w:p>
        </w:tc>
        <w:tc>
          <w:tcPr>
            <w:tcW w:w="800"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p>
        </w:tc>
        <w:tc>
          <w:tcPr>
            <w:tcW w:w="908"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right"/>
              <w:rPr>
                <w:rFonts w:ascii="方正书宋_GBK" w:eastAsia="方正书宋_GBK"/>
                <w:b/>
              </w:rPr>
            </w:pPr>
          </w:p>
        </w:tc>
        <w:tc>
          <w:tcPr>
            <w:tcW w:w="869" w:type="dxa"/>
            <w:shd w:val="clear" w:color="auto" w:fill="auto"/>
            <w:vAlign w:val="center"/>
          </w:tcPr>
          <w:p>
            <w:pPr>
              <w:spacing w:line="300" w:lineRule="exact"/>
              <w:jc w:val="right"/>
              <w:rPr>
                <w:rFonts w:ascii="方正书宋_GBK" w:eastAsia="方正书宋_GBK"/>
                <w:b/>
              </w:rPr>
            </w:pP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中国国民党革命委员会河北省委员会（含所属单位）上年末固定资产金额为</w:t>
      </w:r>
      <w:r>
        <w:rPr>
          <w:rFonts w:hint="eastAsia" w:ascii="Times New Roman" w:hAnsi="Times New Roman" w:eastAsia="方正仿宋_GBK" w:cs="Times New Roman"/>
          <w:sz w:val="32"/>
          <w:szCs w:val="32"/>
        </w:rPr>
        <w:t>90.80</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总额为5万元，</w:t>
      </w:r>
      <w:r>
        <w:rPr>
          <w:rFonts w:hint="eastAsia" w:ascii="仿宋_GB2312" w:hAnsi="黑体" w:eastAsia="仿宋_GB2312" w:cs="Times New Roman"/>
          <w:sz w:val="32"/>
          <w:szCs w:val="32"/>
        </w:rPr>
        <w:t>主要为计算机设备、打印设备、办公家具等，已列入政府采购预算，详见政府采购预算表。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编制部门：中国国民党革命委员会河北省委员会</w:t>
            </w:r>
          </w:p>
        </w:tc>
        <w:tc>
          <w:tcPr>
            <w:tcW w:w="5103"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截止时间：2019年12月31日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90.80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19.77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160</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71.03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05D0"/>
    <w:rsid w:val="0004257D"/>
    <w:rsid w:val="00042F57"/>
    <w:rsid w:val="0006483E"/>
    <w:rsid w:val="00075D5F"/>
    <w:rsid w:val="0008102F"/>
    <w:rsid w:val="00087AAF"/>
    <w:rsid w:val="000B529B"/>
    <w:rsid w:val="000C3A19"/>
    <w:rsid w:val="000E617A"/>
    <w:rsid w:val="0010433F"/>
    <w:rsid w:val="00104D5C"/>
    <w:rsid w:val="001245BB"/>
    <w:rsid w:val="001251A3"/>
    <w:rsid w:val="00146AA7"/>
    <w:rsid w:val="001B4EF3"/>
    <w:rsid w:val="001B5B76"/>
    <w:rsid w:val="001F7873"/>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4F68F9"/>
    <w:rsid w:val="005069C1"/>
    <w:rsid w:val="00516E04"/>
    <w:rsid w:val="00565588"/>
    <w:rsid w:val="00572067"/>
    <w:rsid w:val="00573562"/>
    <w:rsid w:val="00590ECE"/>
    <w:rsid w:val="00592ADD"/>
    <w:rsid w:val="005A2F44"/>
    <w:rsid w:val="00602878"/>
    <w:rsid w:val="00614A29"/>
    <w:rsid w:val="00643AA7"/>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30F7A"/>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911E7"/>
    <w:rsid w:val="00A939D9"/>
    <w:rsid w:val="00B07D9E"/>
    <w:rsid w:val="00B20712"/>
    <w:rsid w:val="00B43238"/>
    <w:rsid w:val="00B450AA"/>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27003"/>
    <w:rsid w:val="00DB4A9B"/>
    <w:rsid w:val="00DE0873"/>
    <w:rsid w:val="00E167C7"/>
    <w:rsid w:val="00E2482E"/>
    <w:rsid w:val="00E273A5"/>
    <w:rsid w:val="00E41AAA"/>
    <w:rsid w:val="00E61DF2"/>
    <w:rsid w:val="00E73D47"/>
    <w:rsid w:val="00EC47F6"/>
    <w:rsid w:val="00EE65B8"/>
    <w:rsid w:val="00F149E2"/>
    <w:rsid w:val="00F159B6"/>
    <w:rsid w:val="00F66032"/>
    <w:rsid w:val="00F728BF"/>
    <w:rsid w:val="00F87C1E"/>
    <w:rsid w:val="00F958C2"/>
    <w:rsid w:val="00FA3D33"/>
    <w:rsid w:val="00FE75D7"/>
    <w:rsid w:val="02133818"/>
    <w:rsid w:val="030C55CC"/>
    <w:rsid w:val="063F761D"/>
    <w:rsid w:val="097B1AA8"/>
    <w:rsid w:val="1694761D"/>
    <w:rsid w:val="239373D0"/>
    <w:rsid w:val="27997E4E"/>
    <w:rsid w:val="3DAF72C5"/>
    <w:rsid w:val="402E7E45"/>
    <w:rsid w:val="41A21E9F"/>
    <w:rsid w:val="555C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7"/>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unhideWhenUsed/>
    <w:uiPriority w:val="99"/>
  </w:style>
  <w:style w:type="character" w:styleId="11">
    <w:name w:val="Hyperlink"/>
    <w:unhideWhenUsed/>
    <w:uiPriority w:val="99"/>
    <w:rPr>
      <w:color w:val="0000FF"/>
      <w:u w:val="single"/>
    </w:rPr>
  </w:style>
  <w:style w:type="character" w:styleId="12">
    <w:name w:val="footnote reference"/>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5CD27-6DBC-4046-B30E-B4DAB37CE2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625</Words>
  <Characters>3567</Characters>
  <Lines>29</Lines>
  <Paragraphs>8</Paragraphs>
  <TotalTime>1</TotalTime>
  <ScaleCrop>false</ScaleCrop>
  <LinksUpToDate>false</LinksUpToDate>
  <CharactersWithSpaces>4184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书强1426126199</cp:lastModifiedBy>
  <cp:lastPrinted>2017-11-09T01:12:00Z</cp:lastPrinted>
  <dcterms:modified xsi:type="dcterms:W3CDTF">2023-08-01T07:36:13Z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